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Belford Community Group</w:t>
      </w:r>
    </w:p>
    <w:p>
      <w:pPr>
        <w:pStyle w:val="Normal (Web)"/>
        <w:shd w:val="clear" w:color="auto" w:fill="ffffff"/>
        <w:rPr>
          <w:rFonts w:ascii="Arial" w:cs="Arial" w:hAnsi="Arial" w:eastAsia="Arial"/>
          <w:b w:val="1"/>
          <w:bCs w:val="1"/>
          <w:outline w:val="0"/>
          <w:color w:val="242526"/>
          <w:sz w:val="32"/>
          <w:szCs w:val="32"/>
          <w:u w:color="242526"/>
          <w14:textFill>
            <w14:solidFill>
              <w14:srgbClr w14:val="242526"/>
            </w14:solidFill>
          </w14:textFill>
        </w:rPr>
      </w:pPr>
      <w:r>
        <w:rPr>
          <w:rFonts w:ascii="Arial" w:hAnsi="Arial"/>
          <w:b w:val="1"/>
          <w:bCs w:val="1"/>
          <w:outline w:val="0"/>
          <w:color w:val="242526"/>
          <w:sz w:val="32"/>
          <w:szCs w:val="32"/>
          <w:u w:color="242526"/>
          <w:rtl w:val="0"/>
          <w:lang w:val="en-US"/>
          <w14:textFill>
            <w14:solidFill>
              <w14:srgbClr w14:val="242526"/>
            </w14:solidFill>
          </w14:textFill>
        </w:rPr>
        <w:t>Harassment and Inappropriate Behaviour Policy</w:t>
      </w:r>
    </w:p>
    <w:p>
      <w:pPr>
        <w:pStyle w:val="Normal (Web)"/>
        <w:shd w:val="clear" w:color="auto" w:fill="ffffff"/>
        <w:rPr>
          <w:rFonts w:ascii="Arial" w:cs="Arial" w:hAnsi="Arial" w:eastAsia="Arial"/>
          <w:b w:val="1"/>
          <w:bCs w:val="1"/>
          <w:outline w:val="0"/>
          <w:color w:val="242526"/>
          <w:sz w:val="32"/>
          <w:szCs w:val="32"/>
          <w:u w:color="242526"/>
          <w14:textFill>
            <w14:solidFill>
              <w14:srgbClr w14:val="242526"/>
            </w14:solidFill>
          </w14:textFill>
        </w:rPr>
      </w:pP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 aim is to ensure every Volunteer or other Member of any of the sections that are a part of the Belford Community Group, BCG, find it is a welcoming and positive experience so that everyone can enjoy the benefits of volunteering or exercising with others.</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This applies across all our sections, including:</w:t>
      </w:r>
    </w:p>
    <w:p>
      <w:pPr>
        <w:pStyle w:val="Normal (Web)"/>
        <w:numPr>
          <w:ilvl w:val="0"/>
          <w:numId w:val="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Gym</w:t>
      </w:r>
    </w:p>
    <w:p>
      <w:pPr>
        <w:pStyle w:val="Normal (Web)"/>
        <w:numPr>
          <w:ilvl w:val="0"/>
          <w:numId w:val="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Shop</w:t>
      </w:r>
    </w:p>
    <w:p>
      <w:pPr>
        <w:pStyle w:val="Normal (Web)"/>
        <w:numPr>
          <w:ilvl w:val="0"/>
          <w:numId w:val="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Woodlands</w:t>
      </w:r>
    </w:p>
    <w:p>
      <w:pPr>
        <w:pStyle w:val="Normal (Web)"/>
        <w:numPr>
          <w:ilvl w:val="0"/>
          <w:numId w:val="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Markets</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 safety of all volunteers and other members is paramount to us and everyone has the right to be, and to feel, safe. We expect everyone to be respectful to each other and to the resources of the BCG and there are no circumstances where it is okay to intimidate or harass another person.</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If any volunteer, member, visitor, in any of our sections feel they have been harassed they should speak to a senior member of the section or to one of our trustees. Every person and every case will be reviewed in detail then dealt with sensitively and as confidential as possible.</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HARASSMENT CAN BE DEFINED AS</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Aggressive pressure or intimidation.</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Unwelcome attention based on personal characteristics.</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Conduct which threatens, intimidates, alarms or makes a user uncomfortable putting them at fear for their safety.</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Physical violence, or direct or inferred sexual threat.</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Threatening, offensive, unwelcome, abusive verbal language or behaviour.</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spacing w:before="0" w:after="0"/>
        <w:rPr>
          <w:rFonts w:ascii="Arial" w:cs="Arial" w:hAnsi="Arial" w:eastAsia="Arial"/>
          <w:b w:val="1"/>
          <w:bCs w:val="1"/>
          <w:outline w:val="0"/>
          <w:color w:val="242526"/>
          <w:u w:color="242526"/>
          <w14:textFill>
            <w14:solidFill>
              <w14:srgbClr w14:val="242526"/>
            </w14:solidFill>
          </w14:textFill>
        </w:rPr>
      </w:pP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HARASSMENT CAN BE</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6"/>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Direct </w:t>
      </w:r>
      <w:r>
        <w:rPr>
          <w:rFonts w:ascii="Arial" w:hAnsi="Arial" w:hint="default"/>
          <w:outline w:val="0"/>
          <w:color w:val="242526"/>
          <w:u w:color="242526"/>
          <w:rtl w:val="0"/>
          <w:lang w:val="en-US"/>
          <w14:textFill>
            <w14:solidFill>
              <w14:srgbClr w14:val="242526"/>
            </w14:solidFill>
          </w14:textFill>
        </w:rPr>
        <w:t xml:space="preserve">– </w:t>
      </w:r>
      <w:r>
        <w:rPr>
          <w:rFonts w:ascii="Arial" w:hAnsi="Arial"/>
          <w:outline w:val="0"/>
          <w:color w:val="242526"/>
          <w:u w:color="242526"/>
          <w:rtl w:val="0"/>
          <w:lang w:val="en-US"/>
          <w14:textFill>
            <w14:solidFill>
              <w14:srgbClr w14:val="242526"/>
            </w14:solidFill>
          </w14:textFill>
        </w:rPr>
        <w:t>to you as an individual from another individual or group of individuals.</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6"/>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Indirect </w:t>
      </w:r>
      <w:r>
        <w:rPr>
          <w:rFonts w:ascii="Arial" w:hAnsi="Arial" w:hint="default"/>
          <w:outline w:val="0"/>
          <w:color w:val="242526"/>
          <w:u w:color="242526"/>
          <w:rtl w:val="0"/>
          <w:lang w:val="en-US"/>
          <w14:textFill>
            <w14:solidFill>
              <w14:srgbClr w14:val="242526"/>
            </w14:solidFill>
          </w14:textFill>
        </w:rPr>
        <w:t xml:space="preserve">– </w:t>
      </w:r>
      <w:r>
        <w:rPr>
          <w:rFonts w:ascii="Arial" w:hAnsi="Arial"/>
          <w:outline w:val="0"/>
          <w:color w:val="242526"/>
          <w:u w:color="242526"/>
          <w:rtl w:val="0"/>
          <w:lang w:val="en-US"/>
          <w14:textFill>
            <w14:solidFill>
              <w14:srgbClr w14:val="242526"/>
            </w14:solidFill>
          </w14:textFill>
        </w:rPr>
        <w:t>witnessed towards someone else.</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hint="default"/>
          <w:outline w:val="0"/>
          <w:color w:val="242526"/>
          <w:u w:color="242526"/>
          <w:rtl w:val="0"/>
          <w:lang w:val="en-US"/>
          <w14:textFill>
            <w14:solidFill>
              <w14:srgbClr w14:val="242526"/>
            </w14:solidFill>
          </w14:textFill>
        </w:rPr>
        <w:t> </w:t>
      </w:r>
      <w:r>
        <w:rPr>
          <w:rFonts w:ascii="Arial" w:hAnsi="Arial"/>
          <w:outline w:val="0"/>
          <w:color w:val="242526"/>
          <w:u w:color="242526"/>
          <w:rtl w:val="0"/>
          <w:lang w:val="en-US"/>
          <w14:textFill>
            <w14:solidFill>
              <w14:srgbClr w14:val="242526"/>
            </w14:solidFill>
          </w14:textFill>
        </w:rPr>
        <w:t>Harassment doesn</w:t>
      </w:r>
      <w:r>
        <w:rPr>
          <w:rFonts w:ascii="Arial" w:hAnsi="Arial" w:hint="default"/>
          <w:outline w:val="0"/>
          <w:color w:val="242526"/>
          <w:u w:color="242526"/>
          <w:rtl w:val="0"/>
          <w:lang w:val="en-US"/>
          <w14:textFill>
            <w14:solidFill>
              <w14:srgbClr w14:val="242526"/>
            </w14:solidFill>
          </w14:textFill>
        </w:rPr>
        <w:t>’</w:t>
      </w:r>
      <w:r>
        <w:rPr>
          <w:rFonts w:ascii="Arial" w:hAnsi="Arial"/>
          <w:outline w:val="0"/>
          <w:color w:val="242526"/>
          <w:u w:color="242526"/>
          <w:rtl w:val="0"/>
          <w:lang w:val="en-US"/>
          <w14:textFill>
            <w14:solidFill>
              <w14:srgbClr w14:val="242526"/>
            </w14:solidFill>
          </w14:textFill>
        </w:rPr>
        <w:t>t have to be about you to affect and impact you.</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HARASSMENT EXAMPLES</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There are many forms of Harassment, some examples of these are:</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8"/>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Negative, unwelcome, aggressive or detrimental comments about race, heritage or ethnicity.</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8"/>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Comments, jokes or suggestive statements about someone</w:t>
      </w:r>
      <w:r>
        <w:rPr>
          <w:rFonts w:ascii="Arial" w:hAnsi="Arial" w:hint="default"/>
          <w:outline w:val="0"/>
          <w:color w:val="242526"/>
          <w:u w:color="242526"/>
          <w:rtl w:val="0"/>
          <w:lang w:val="en-US"/>
          <w14:textFill>
            <w14:solidFill>
              <w14:srgbClr w14:val="242526"/>
            </w14:solidFill>
          </w14:textFill>
        </w:rPr>
        <w:t>’</w:t>
      </w:r>
      <w:r>
        <w:rPr>
          <w:rFonts w:ascii="Arial" w:hAnsi="Arial"/>
          <w:outline w:val="0"/>
          <w:color w:val="242526"/>
          <w:u w:color="242526"/>
          <w:rtl w:val="0"/>
          <w:lang w:val="en-US"/>
          <w14:textFill>
            <w14:solidFill>
              <w14:srgbClr w14:val="242526"/>
            </w14:solidFill>
          </w14:textFill>
        </w:rPr>
        <w:t>s sexual orientation, gender or identity.</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8"/>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Derogatory comments or actions regarding a person</w:t>
      </w:r>
      <w:r>
        <w:rPr>
          <w:rFonts w:ascii="Arial" w:hAnsi="Arial" w:hint="default"/>
          <w:outline w:val="0"/>
          <w:color w:val="242526"/>
          <w:u w:color="242526"/>
          <w:rtl w:val="0"/>
          <w:lang w:val="en-US"/>
          <w14:textFill>
            <w14:solidFill>
              <w14:srgbClr w14:val="242526"/>
            </w14:solidFill>
          </w14:textFill>
        </w:rPr>
        <w:t>’</w:t>
      </w:r>
      <w:r>
        <w:rPr>
          <w:rFonts w:ascii="Arial" w:hAnsi="Arial"/>
          <w:outline w:val="0"/>
          <w:color w:val="242526"/>
          <w:u w:color="242526"/>
          <w:rtl w:val="0"/>
          <w:lang w:val="en-US"/>
          <w14:textFill>
            <w14:solidFill>
              <w14:srgbClr w14:val="242526"/>
            </w14:solidFill>
          </w14:textFill>
        </w:rPr>
        <w:t xml:space="preserve">s ability or disability </w:t>
      </w:r>
      <w:r>
        <w:rPr>
          <w:rFonts w:ascii="Arial" w:hAnsi="Arial" w:hint="default"/>
          <w:outline w:val="0"/>
          <w:color w:val="242526"/>
          <w:u w:color="242526"/>
          <w:rtl w:val="0"/>
          <w:lang w:val="en-US"/>
          <w14:textFill>
            <w14:solidFill>
              <w14:srgbClr w14:val="242526"/>
            </w14:solidFill>
          </w14:textFill>
        </w:rPr>
        <w:t xml:space="preserve">– </w:t>
      </w:r>
      <w:r>
        <w:rPr>
          <w:rFonts w:ascii="Arial" w:hAnsi="Arial"/>
          <w:outline w:val="0"/>
          <w:color w:val="242526"/>
          <w:u w:color="242526"/>
          <w:rtl w:val="0"/>
          <w:lang w:val="en-US"/>
          <w14:textFill>
            <w14:solidFill>
              <w14:srgbClr w14:val="242526"/>
            </w14:solidFill>
          </w14:textFill>
        </w:rPr>
        <w:t>physical or mental.</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8"/>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Exclusive or negative comments, suggestions or behaviours towards a person because of their age.</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8"/>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Unkind, negative comments that will offend or embarrass someone because of their size, appearance or fitness levels.</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b w:val="1"/>
          <w:bCs w:val="1"/>
          <w:outline w:val="0"/>
          <w:color w:val="242526"/>
          <w:u w:color="242526"/>
          <w14:textFill>
            <w14:solidFill>
              <w14:srgbClr w14:val="242526"/>
            </w14:solidFill>
          </w14:textFill>
        </w:rPr>
      </w:pPr>
      <w:r>
        <w:rPr>
          <w:rFonts w:ascii="Arial" w:hAnsi="Arial" w:hint="default"/>
          <w:outline w:val="0"/>
          <w:color w:val="242526"/>
          <w:u w:color="242526"/>
          <w:rtl w:val="0"/>
          <w:lang w:val="en-US"/>
          <w14:textFill>
            <w14:solidFill>
              <w14:srgbClr w14:val="242526"/>
            </w14:solidFill>
          </w14:textFill>
        </w:rPr>
        <w:t> </w:t>
      </w:r>
      <w:r>
        <w:rPr>
          <w:rFonts w:ascii="Arial" w:hAnsi="Arial"/>
          <w:b w:val="1"/>
          <w:bCs w:val="1"/>
          <w:outline w:val="0"/>
          <w:color w:val="242526"/>
          <w:u w:color="242526"/>
          <w:rtl w:val="0"/>
          <w:lang w:val="en-US"/>
          <w14:textFill>
            <w14:solidFill>
              <w14:srgbClr w14:val="242526"/>
            </w14:solidFill>
          </w14:textFill>
        </w:rPr>
        <w:t>SEXUAL HARASSMENT EXAMPLES</w:t>
      </w:r>
      <w:r>
        <w:rPr>
          <w:rFonts w:ascii="Arial" w:hAnsi="Arial" w:hint="default"/>
          <w:b w:val="1"/>
          <w:bCs w:val="1"/>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There are many forms of Sexual Harassment, some examples of this are (this list is not exhaustive):</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Unwelcome physical contact </w:t>
      </w:r>
      <w:r>
        <w:rPr>
          <w:rFonts w:ascii="Arial" w:hAnsi="Arial" w:hint="default"/>
          <w:outline w:val="0"/>
          <w:color w:val="242526"/>
          <w:u w:color="242526"/>
          <w:rtl w:val="0"/>
          <w:lang w:val="en-US"/>
          <w14:textFill>
            <w14:solidFill>
              <w14:srgbClr w14:val="242526"/>
            </w14:solidFill>
          </w14:textFill>
        </w:rPr>
        <w:t xml:space="preserve">– </w:t>
      </w:r>
      <w:r>
        <w:rPr>
          <w:rFonts w:ascii="Arial" w:hAnsi="Arial"/>
          <w:outline w:val="0"/>
          <w:color w:val="242526"/>
          <w:u w:color="242526"/>
          <w:rtl w:val="0"/>
          <w:lang w:val="en-US"/>
          <w14:textFill>
            <w14:solidFill>
              <w14:srgbClr w14:val="242526"/>
            </w14:solidFill>
          </w14:textFill>
        </w:rPr>
        <w:t>touching, patting, pinching, stroking, kissing, hugging, fondling or inappropriate touching.</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Physical violence, including sexual assault (as defined by the Crown Prosecution Service/Sexual Offences Act).</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Sexual comments, jokes or stories that offend or humiliate a person or group of people.</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Unwanted comments on a person</w:t>
      </w:r>
      <w:r>
        <w:rPr>
          <w:rFonts w:ascii="Arial" w:hAnsi="Arial" w:hint="default"/>
          <w:outline w:val="0"/>
          <w:color w:val="242526"/>
          <w:u w:color="242526"/>
          <w:rtl w:val="0"/>
          <w:lang w:val="en-US"/>
          <w14:textFill>
            <w14:solidFill>
              <w14:srgbClr w14:val="242526"/>
            </w14:solidFill>
          </w14:textFill>
        </w:rPr>
        <w:t>’</w:t>
      </w:r>
      <w:r>
        <w:rPr>
          <w:rFonts w:ascii="Arial" w:hAnsi="Arial"/>
          <w:outline w:val="0"/>
          <w:color w:val="242526"/>
          <w:u w:color="242526"/>
          <w:rtl w:val="0"/>
          <w:lang w:val="en-US"/>
          <w14:textFill>
            <w14:solidFill>
              <w14:srgbClr w14:val="242526"/>
            </w14:solidFill>
          </w14:textFill>
        </w:rPr>
        <w:t>s looks, dress, sexuality, age or gender in a derogatory or objectifying way.</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Repeated unwanted flirting or flirting at an inappropriate time which could be deemed to undermine or damage a person</w:t>
      </w:r>
      <w:r>
        <w:rPr>
          <w:rFonts w:ascii="Arial" w:hAnsi="Arial" w:hint="default"/>
          <w:outline w:val="0"/>
          <w:color w:val="242526"/>
          <w:u w:color="242526"/>
          <w:rtl w:val="0"/>
          <w:lang w:val="en-US"/>
          <w14:textFill>
            <w14:solidFill>
              <w14:srgbClr w14:val="242526"/>
            </w14:solidFill>
          </w14:textFill>
        </w:rPr>
        <w:t>’</w:t>
      </w:r>
      <w:r>
        <w:rPr>
          <w:rFonts w:ascii="Arial" w:hAnsi="Arial"/>
          <w:outline w:val="0"/>
          <w:color w:val="242526"/>
          <w:u w:color="242526"/>
          <w:rtl w:val="0"/>
          <w:lang w:val="en-US"/>
          <w14:textFill>
            <w14:solidFill>
              <w14:srgbClr w14:val="242526"/>
            </w14:solidFill>
          </w14:textFill>
        </w:rPr>
        <w:t>s reputation.</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0"/>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Lewd behaviour such as leering, staring, whistling or gesturing.</w:t>
      </w:r>
    </w:p>
    <w:p>
      <w:pPr>
        <w:pStyle w:val="Normal (Web)"/>
        <w:shd w:val="clear" w:color="auto" w:fill="ffffff"/>
        <w:rPr>
          <w:rFonts w:ascii="Arial" w:cs="Arial" w:hAnsi="Arial" w:eastAsia="Arial"/>
          <w:b w:val="1"/>
          <w:bCs w:val="1"/>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INAPPROPRIATE BEHAVIOUR EXAMPLES</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There are many forms of Inappropriate Behaviour, some examples include</w:t>
      </w:r>
    </w:p>
    <w:p>
      <w:pPr>
        <w:pStyle w:val="Normal (Web)"/>
        <w:numPr>
          <w:ilvl w:val="0"/>
          <w:numId w:val="1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Not following the policies, procedures or rules of the BCG or any of its sections, particularly regarding protection of other people or any property.</w:t>
      </w:r>
    </w:p>
    <w:p>
      <w:pPr>
        <w:pStyle w:val="Normal (Web)"/>
        <w:numPr>
          <w:ilvl w:val="0"/>
          <w:numId w:val="1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Actions that put any of the resources or assets of the BCG or any of its sections at risk from vandalism or other threats.</w:t>
      </w:r>
    </w:p>
    <w:p>
      <w:pPr>
        <w:pStyle w:val="Normal (Web)"/>
        <w:numPr>
          <w:ilvl w:val="0"/>
          <w:numId w:val="1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Any anti-social behaviour.</w:t>
      </w:r>
    </w:p>
    <w:p>
      <w:pPr>
        <w:pStyle w:val="Normal (Web)"/>
        <w:shd w:val="clear" w:color="auto" w:fill="ffffff"/>
        <w:spacing w:before="0" w:after="0"/>
        <w:rPr>
          <w:rFonts w:ascii="Arial" w:cs="Arial" w:hAnsi="Arial" w:eastAsia="Arial"/>
          <w:b w:val="1"/>
          <w:bCs w:val="1"/>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INVESTIGATIONS OF COMPLAINTS OR CONCERNS</w:t>
      </w: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If you feel you have been the victim of harassment by a volunteer or member or have reason to believe there has been inappropriate behaviour, if possible, you may raise it first with the person involved. If this is not possible or you are uncomfortable to do so or are not satisfied with their response you should report it to a senior member of your section of the BCG or alternatively, any of the Trustees of the BCG. Generally, the initial investigations will be carried out within the Section with a right of appeal to the Trustees.</w:t>
      </w: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 investigation will be carried out in accordance with the BCG Complaints Policy.</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hint="default"/>
          <w:outline w:val="0"/>
          <w:color w:val="242526"/>
          <w:u w:color="242526"/>
          <w:rtl w:val="0"/>
          <w:lang w:val="en-US"/>
          <w14:textFill>
            <w14:solidFill>
              <w14:srgbClr w14:val="242526"/>
            </w14:solidFill>
          </w14:textFill>
        </w:rPr>
        <w:t> </w:t>
      </w:r>
      <w:r>
        <w:rPr>
          <w:rFonts w:ascii="Arial" w:hAnsi="Arial"/>
          <w:b w:val="1"/>
          <w:bCs w:val="1"/>
          <w:outline w:val="0"/>
          <w:color w:val="242526"/>
          <w:u w:color="242526"/>
          <w:rtl w:val="0"/>
          <w:lang w:val="en-US"/>
          <w14:textFill>
            <w14:solidFill>
              <w14:srgbClr w14:val="242526"/>
            </w14:solidFill>
          </w14:textFill>
        </w:rPr>
        <w:t>POSSIBLE OUTCOMES OF INVESTIGATION</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If following an investigation of an incident, there is a belief that the volunteer or other member had acted with poor judgement or made an innocent error </w:t>
      </w:r>
      <w:r>
        <w:rPr>
          <w:rFonts w:ascii="Arial" w:hAnsi="Arial" w:hint="default"/>
          <w:outline w:val="0"/>
          <w:color w:val="242526"/>
          <w:u w:color="242526"/>
          <w:rtl w:val="0"/>
          <w:lang w:val="en-US"/>
          <w14:textFill>
            <w14:solidFill>
              <w14:srgbClr w14:val="242526"/>
            </w14:solidFill>
          </w14:textFill>
        </w:rPr>
        <w:t xml:space="preserve">– </w:t>
      </w:r>
      <w:r>
        <w:rPr>
          <w:rFonts w:ascii="Arial" w:hAnsi="Arial"/>
          <w:outline w:val="0"/>
          <w:color w:val="242526"/>
          <w:u w:color="242526"/>
          <w:rtl w:val="0"/>
          <w:lang w:val="en-US"/>
          <w14:textFill>
            <w14:solidFill>
              <w14:srgbClr w14:val="242526"/>
            </w14:solidFill>
          </w14:textFill>
        </w:rPr>
        <w:t>a warning, apology and education may be the appropriate action to take.</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If, however, the investigation provides evidence that there has been direct or indirect intentional harassment or inappropriate behaviour, a formal sanction may be issued. Sanctions that may be issued by the committees include </w:t>
      </w:r>
      <w:r>
        <w:rPr>
          <w:rFonts w:ascii="Arial" w:cs="Arial" w:hAnsi="Arial" w:eastAsia="Arial"/>
          <w:outline w:val="0"/>
          <w:color w:val="242526"/>
          <w:u w:color="242526"/>
          <w:rtl w:val="0"/>
          <w14:textFill>
            <w14:solidFill>
              <w14:srgbClr w14:val="242526"/>
            </w14:solidFill>
          </w14:textFill>
        </w:rPr>
        <w:br w:type="textWrapping"/>
        <w:t> </w:t>
      </w:r>
    </w:p>
    <w:p>
      <w:pPr>
        <w:pStyle w:val="Normal (Web)"/>
        <w:numPr>
          <w:ilvl w:val="0"/>
          <w:numId w:val="1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 xml:space="preserve">A formal written warning </w:t>
      </w:r>
    </w:p>
    <w:p>
      <w:pPr>
        <w:pStyle w:val="Normal (Web)"/>
        <w:numPr>
          <w:ilvl w:val="0"/>
          <w:numId w:val="1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A short term or permanent ban on the volunteer or member participating in the section or any part of the BCG activities.</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4"/>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Referral of the incident, with consent of the aggrieved, to the police.</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The Complaints Policy contains a right of appeal to Trustees.</w:t>
      </w:r>
    </w:p>
    <w:p>
      <w:pPr>
        <w:pStyle w:val="Normal (Web)"/>
        <w:shd w:val="clear" w:color="auto" w:fill="ffffff"/>
        <w:rPr>
          <w:rFonts w:ascii="Arial" w:cs="Arial" w:hAnsi="Arial" w:eastAsia="Arial"/>
          <w:outline w:val="0"/>
          <w:color w:val="242526"/>
          <w:u w:color="242526"/>
          <w14:textFill>
            <w14:solidFill>
              <w14:srgbClr w14:val="242526"/>
            </w14:solidFill>
          </w14:textFill>
        </w:rPr>
      </w:pP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spacing w:before="0" w:after="0"/>
        <w:rPr>
          <w:rFonts w:ascii="Arial" w:cs="Arial" w:hAnsi="Arial" w:eastAsia="Arial"/>
          <w:outline w:val="0"/>
          <w:color w:val="242526"/>
          <w:u w:color="242526"/>
          <w14:textFill>
            <w14:solidFill>
              <w14:srgbClr w14:val="242526"/>
            </w14:solidFill>
          </w14:textFill>
        </w:rPr>
      </w:pPr>
      <w:r>
        <w:rPr>
          <w:rFonts w:ascii="Arial" w:hAnsi="Arial"/>
          <w:b w:val="1"/>
          <w:bCs w:val="1"/>
          <w:outline w:val="0"/>
          <w:color w:val="242526"/>
          <w:u w:color="242526"/>
          <w:rtl w:val="0"/>
          <w:lang w:val="en-US"/>
          <w14:textFill>
            <w14:solidFill>
              <w14:srgbClr w14:val="242526"/>
            </w14:solidFill>
          </w14:textFill>
        </w:rPr>
        <w:t>SUPPORT TO THOSE WHO HAVE EXPERIENCED HARASSMENT</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6"/>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If you are not happy with the process or the outcome, you can request for the case to be escalated to a more senior manager in-line with the organisations procedures to review your case.</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19"/>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We hope you will be comfortable to return to your role with the BCG and will support you as much as we can.</w:t>
      </w:r>
      <w:r>
        <w:rPr>
          <w:rFonts w:ascii="Arial" w:hAnsi="Arial" w:hint="default"/>
          <w:outline w:val="0"/>
          <w:color w:val="242526"/>
          <w:u w:color="242526"/>
          <w:rtl w:val="0"/>
          <w:lang w:val="en-US"/>
          <w14:textFill>
            <w14:solidFill>
              <w14:srgbClr w14:val="242526"/>
            </w14:solidFill>
          </w14:textFill>
        </w:rPr>
        <w:t> </w:t>
      </w:r>
    </w:p>
    <w:p>
      <w:pPr>
        <w:pStyle w:val="Normal (Web)"/>
        <w:numPr>
          <w:ilvl w:val="0"/>
          <w:numId w:val="22"/>
        </w:numPr>
        <w:shd w:val="clear" w:color="auto" w:fill="ffffff"/>
        <w:bidi w:val="0"/>
        <w:ind w:right="0"/>
        <w:jc w:val="left"/>
        <w:rPr>
          <w:rFonts w:ascii="Arial" w:hAnsi="Arial"/>
          <w:outline w:val="0"/>
          <w:color w:val="242526"/>
          <w:rtl w:val="0"/>
          <w:lang w:val="en-US"/>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If appropriate, you will be offered an opportunity for a mediated conversation with the individual the allegation was against if they are remaining in the facility, if they are agreeable to the session and if you feel this would be beneficial.</w:t>
      </w:r>
      <w:r>
        <w:rPr>
          <w:rFonts w:ascii="Arial" w:hAnsi="Arial" w:hint="default"/>
          <w:outline w:val="0"/>
          <w:color w:val="242526"/>
          <w:u w:color="242526"/>
          <w:rtl w:val="0"/>
          <w:lang w:val="en-US"/>
          <w14:textFill>
            <w14:solidFill>
              <w14:srgbClr w14:val="242526"/>
            </w14:solidFill>
          </w14:textFill>
        </w:rPr>
        <w:t> </w:t>
      </w:r>
    </w:p>
    <w:p>
      <w:pPr>
        <w:pStyle w:val="Normal (Web)"/>
        <w:shd w:val="clear" w:color="auto" w:fill="ffffff"/>
        <w:ind w:left="720" w:firstLine="0"/>
        <w:rPr>
          <w:rFonts w:ascii="Arial" w:cs="Arial" w:hAnsi="Arial" w:eastAsia="Arial"/>
          <w:outline w:val="0"/>
          <w:color w:val="242526"/>
          <w:u w:color="242526"/>
          <w14:textFill>
            <w14:solidFill>
              <w14:srgbClr w14:val="242526"/>
            </w14:solidFill>
          </w14:textFill>
        </w:rPr>
      </w:pPr>
    </w:p>
    <w:p>
      <w:pPr>
        <w:pStyle w:val="Normal (Web)"/>
        <w:shd w:val="clear" w:color="auto" w:fill="ffffff"/>
        <w:ind w:left="720" w:firstLine="0"/>
        <w:rPr>
          <w:rFonts w:ascii="Arial" w:cs="Arial" w:hAnsi="Arial" w:eastAsia="Arial"/>
          <w:outline w:val="0"/>
          <w:color w:val="242526"/>
          <w:u w:color="242526"/>
          <w14:textFill>
            <w14:solidFill>
              <w14:srgbClr w14:val="242526"/>
            </w14:solidFill>
          </w14:textFill>
        </w:rPr>
      </w:pPr>
    </w:p>
    <w:p>
      <w:pPr>
        <w:pStyle w:val="Normal (Web)"/>
        <w:shd w:val="clear" w:color="auto" w:fill="ffffff"/>
        <w:ind w:left="360" w:firstLine="0"/>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This policy will be reviewed every three years.</w:t>
      </w:r>
    </w:p>
    <w:p>
      <w:pPr>
        <w:pStyle w:val="Normal (Web)"/>
        <w:shd w:val="clear" w:color="auto" w:fill="ffffff"/>
        <w:ind w:left="360" w:firstLine="0"/>
        <w:rPr>
          <w:rFonts w:ascii="Arial" w:cs="Arial" w:hAnsi="Arial" w:eastAsia="Arial"/>
          <w:outline w:val="0"/>
          <w:color w:val="242526"/>
          <w:u w:color="242526"/>
          <w14:textFill>
            <w14:solidFill>
              <w14:srgbClr w14:val="242526"/>
            </w14:solidFill>
          </w14:textFill>
        </w:rPr>
      </w:pPr>
    </w:p>
    <w:p>
      <w:pPr>
        <w:pStyle w:val="Normal (Web)"/>
        <w:shd w:val="clear" w:color="auto" w:fill="ffffff"/>
        <w:ind w:left="360" w:firstLine="0"/>
        <w:rPr>
          <w:rFonts w:ascii="Arial" w:cs="Arial" w:hAnsi="Arial" w:eastAsia="Arial"/>
          <w:outline w:val="0"/>
          <w:color w:val="242526"/>
          <w:u w:color="242526"/>
          <w14:textFill>
            <w14:solidFill>
              <w14:srgbClr w14:val="242526"/>
            </w14:solidFill>
          </w14:textFill>
        </w:rPr>
      </w:pPr>
      <w:r>
        <w:rPr>
          <w:rFonts w:ascii="Arial" w:hAnsi="Arial"/>
          <w:outline w:val="0"/>
          <w:color w:val="242526"/>
          <w:u w:color="242526"/>
          <w:rtl w:val="0"/>
          <w:lang w:val="en-US"/>
          <w14:textFill>
            <w14:solidFill>
              <w14:srgbClr w14:val="242526"/>
            </w14:solidFill>
          </w14:textFill>
        </w:rPr>
        <w:t>Version dated 15 June 2025</w:t>
      </w:r>
    </w:p>
    <w:p>
      <w:pPr>
        <w:pStyle w:val="Normal (Web)"/>
        <w:shd w:val="clear" w:color="auto" w:fill="ffffff"/>
        <w:ind w:left="360" w:firstLine="0"/>
      </w:pPr>
      <w:r>
        <w:rPr>
          <w:rFonts w:ascii="Poppins" w:cs="Poppins" w:hAnsi="Poppins" w:eastAsia="Poppins"/>
          <w:outline w:val="0"/>
          <w:color w:val="242526"/>
          <w:u w:color="242526"/>
          <w:rtl w:val="0"/>
          <w:lang w:val="en-US"/>
          <w14:textFill>
            <w14:solidFill>
              <w14:srgbClr w14:val="242526"/>
            </w14:solidFill>
          </w14:textFill>
        </w:rPr>
        <w:t xml:space="preserve"> </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oppi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6"/>
    <w:lvlOverride w:ilvl="0">
      <w:startOverride w:val="2"/>
    </w:lvlOverride>
  </w:num>
  <w:num w:numId="20">
    <w:abstractNumId w:val="19"/>
  </w:num>
  <w:num w:numId="21">
    <w:abstractNumId w:val="18"/>
  </w:num>
  <w:num w:numId="22">
    <w:abstractNumId w:val="18"/>
    <w:lvlOverride w:ilvl="0">
      <w:startOverride w:val="3"/>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20"/>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