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rFonts w:ascii="Aptos" w:cs="Aptos" w:hAnsi="Aptos" w:eastAsia="Aptos"/>
          <w:b w:val="1"/>
          <w:bCs w:val="1"/>
          <w:sz w:val="28"/>
          <w:szCs w:val="28"/>
        </w:rPr>
      </w:pPr>
      <w:r>
        <w:rPr>
          <w:rFonts w:ascii="Aptos" w:cs="Aptos" w:hAnsi="Aptos" w:eastAsia="Aptos"/>
          <w:b w:val="1"/>
          <w:bCs w:val="1"/>
          <w:sz w:val="28"/>
          <w:szCs w:val="28"/>
          <w:rtl w:val="0"/>
          <w:lang w:val="en-US"/>
        </w:rPr>
        <w:t>Data Protection Policy Belford Community Group</w:t>
      </w:r>
    </w:p>
    <w:p>
      <w:pPr>
        <w:pStyle w:val="Body"/>
        <w:rPr>
          <w:b w:val="1"/>
          <w:bCs w:val="1"/>
          <w:sz w:val="28"/>
          <w:szCs w:val="28"/>
        </w:rPr>
      </w:pPr>
    </w:p>
    <w:p>
      <w:pPr>
        <w:pStyle w:val="Body"/>
        <w:rPr>
          <w:sz w:val="24"/>
          <w:szCs w:val="24"/>
        </w:rPr>
      </w:pPr>
      <w:r>
        <w:rPr>
          <w:sz w:val="24"/>
          <w:szCs w:val="24"/>
          <w:rtl w:val="0"/>
          <w:lang w:val="en-US"/>
        </w:rPr>
        <w:t>Personal data, largely names and contact details, are held by different sections of the BCG and anyone responsible for using any of the personal data must make sure the information is:</w:t>
      </w:r>
    </w:p>
    <w:p>
      <w:pPr>
        <w:pStyle w:val="Body"/>
        <w:numPr>
          <w:ilvl w:val="0"/>
          <w:numId w:val="2"/>
        </w:numPr>
        <w:bidi w:val="0"/>
        <w:ind w:right="0"/>
        <w:jc w:val="left"/>
        <w:rPr>
          <w:sz w:val="24"/>
          <w:szCs w:val="24"/>
          <w:rtl w:val="0"/>
          <w:lang w:val="en-US"/>
        </w:rPr>
      </w:pPr>
      <w:r>
        <w:rPr>
          <w:sz w:val="24"/>
          <w:szCs w:val="24"/>
          <w:rtl w:val="0"/>
          <w:lang w:val="en-US"/>
        </w:rPr>
        <w:t>used fairly, lawfully and transparently</w:t>
      </w:r>
    </w:p>
    <w:p>
      <w:pPr>
        <w:pStyle w:val="Body"/>
        <w:numPr>
          <w:ilvl w:val="0"/>
          <w:numId w:val="2"/>
        </w:numPr>
        <w:bidi w:val="0"/>
        <w:ind w:right="0"/>
        <w:jc w:val="left"/>
        <w:rPr>
          <w:sz w:val="24"/>
          <w:szCs w:val="24"/>
          <w:rtl w:val="0"/>
          <w:lang w:val="en-US"/>
        </w:rPr>
      </w:pPr>
      <w:r>
        <w:rPr>
          <w:sz w:val="24"/>
          <w:szCs w:val="24"/>
          <w:rtl w:val="0"/>
          <w:lang w:val="en-US"/>
        </w:rPr>
        <w:t>used for specified, explicit purposes</w:t>
      </w:r>
    </w:p>
    <w:p>
      <w:pPr>
        <w:pStyle w:val="Body"/>
        <w:numPr>
          <w:ilvl w:val="0"/>
          <w:numId w:val="2"/>
        </w:numPr>
        <w:bidi w:val="0"/>
        <w:ind w:right="0"/>
        <w:jc w:val="left"/>
        <w:rPr>
          <w:sz w:val="24"/>
          <w:szCs w:val="24"/>
          <w:rtl w:val="0"/>
          <w:lang w:val="en-US"/>
        </w:rPr>
      </w:pPr>
      <w:r>
        <w:rPr>
          <w:sz w:val="24"/>
          <w:szCs w:val="24"/>
          <w:rtl w:val="0"/>
          <w:lang w:val="en-US"/>
        </w:rPr>
        <w:t>used in a way that is adequate, relevant and limited to only what is necessary</w:t>
      </w:r>
    </w:p>
    <w:p>
      <w:pPr>
        <w:pStyle w:val="Body"/>
        <w:numPr>
          <w:ilvl w:val="0"/>
          <w:numId w:val="2"/>
        </w:numPr>
        <w:bidi w:val="0"/>
        <w:ind w:right="0"/>
        <w:jc w:val="left"/>
        <w:rPr>
          <w:sz w:val="24"/>
          <w:szCs w:val="24"/>
          <w:rtl w:val="0"/>
          <w:lang w:val="en-US"/>
        </w:rPr>
      </w:pPr>
      <w:r>
        <w:rPr>
          <w:sz w:val="24"/>
          <w:szCs w:val="24"/>
          <w:rtl w:val="0"/>
          <w:lang w:val="en-US"/>
        </w:rPr>
        <w:t>accurate and, where necessary, kept up to date</w:t>
      </w:r>
    </w:p>
    <w:p>
      <w:pPr>
        <w:pStyle w:val="Body"/>
        <w:numPr>
          <w:ilvl w:val="0"/>
          <w:numId w:val="2"/>
        </w:numPr>
        <w:bidi w:val="0"/>
        <w:ind w:right="0"/>
        <w:jc w:val="left"/>
        <w:rPr>
          <w:sz w:val="24"/>
          <w:szCs w:val="24"/>
          <w:rtl w:val="0"/>
          <w:lang w:val="en-US"/>
        </w:rPr>
      </w:pPr>
      <w:r>
        <w:rPr>
          <w:sz w:val="24"/>
          <w:szCs w:val="24"/>
          <w:rtl w:val="0"/>
          <w:lang w:val="en-US"/>
        </w:rPr>
        <w:t>kept for no longer than is necessary</w:t>
      </w:r>
    </w:p>
    <w:p>
      <w:pPr>
        <w:pStyle w:val="Body"/>
        <w:numPr>
          <w:ilvl w:val="0"/>
          <w:numId w:val="2"/>
        </w:numPr>
        <w:bidi w:val="0"/>
        <w:ind w:right="0"/>
        <w:jc w:val="left"/>
        <w:rPr>
          <w:sz w:val="24"/>
          <w:szCs w:val="24"/>
          <w:rtl w:val="0"/>
          <w:lang w:val="en-US"/>
        </w:rPr>
      </w:pPr>
      <w:r>
        <w:rPr>
          <w:sz w:val="24"/>
          <w:szCs w:val="24"/>
          <w:rtl w:val="0"/>
          <w:lang w:val="en-US"/>
        </w:rPr>
        <w:t>handled in a way that ensures appropriate security, including protection against unlawful or unauthorised processing, access, loss, destruction or damage</w:t>
      </w:r>
    </w:p>
    <w:p>
      <w:pPr>
        <w:pStyle w:val="Body"/>
        <w:rPr>
          <w:sz w:val="24"/>
          <w:szCs w:val="24"/>
        </w:rPr>
      </w:pPr>
      <w:r>
        <w:rPr>
          <w:sz w:val="24"/>
          <w:szCs w:val="24"/>
          <w:rtl w:val="0"/>
          <w:lang w:val="en-US"/>
        </w:rPr>
        <w:t>Each section of the BCG that uses any personal data must do so in accordance with its Procedures agreed with the Trustees of the BCG. The sort of data that may be covered in each section</w:t>
      </w:r>
      <w:r>
        <w:rPr>
          <w:sz w:val="24"/>
          <w:szCs w:val="24"/>
          <w:rtl w:val="1"/>
        </w:rPr>
        <w:t>’</w:t>
      </w:r>
      <w:r>
        <w:rPr>
          <w:sz w:val="24"/>
          <w:szCs w:val="24"/>
          <w:rtl w:val="0"/>
          <w:lang w:val="en-US"/>
        </w:rPr>
        <w:t>s Procedure may include:</w:t>
      </w:r>
    </w:p>
    <w:p>
      <w:pPr>
        <w:pStyle w:val="List Paragraph"/>
        <w:numPr>
          <w:ilvl w:val="0"/>
          <w:numId w:val="4"/>
        </w:numPr>
        <w:bidi w:val="0"/>
        <w:ind w:right="0"/>
        <w:jc w:val="left"/>
        <w:rPr>
          <w:sz w:val="24"/>
          <w:szCs w:val="24"/>
          <w:rtl w:val="0"/>
          <w:lang w:val="en-US"/>
        </w:rPr>
      </w:pPr>
      <w:r>
        <w:rPr>
          <w:sz w:val="24"/>
          <w:szCs w:val="24"/>
          <w:rtl w:val="0"/>
          <w:lang w:val="en-US"/>
        </w:rPr>
        <w:t>Name, address, email and phone numbers to maintain contact with members.</w:t>
      </w:r>
    </w:p>
    <w:p>
      <w:pPr>
        <w:pStyle w:val="List Paragraph"/>
        <w:numPr>
          <w:ilvl w:val="0"/>
          <w:numId w:val="4"/>
        </w:numPr>
        <w:bidi w:val="0"/>
        <w:ind w:right="0"/>
        <w:jc w:val="left"/>
        <w:rPr>
          <w:sz w:val="24"/>
          <w:szCs w:val="24"/>
          <w:rtl w:val="0"/>
          <w:lang w:val="en-US"/>
        </w:rPr>
      </w:pPr>
      <w:r>
        <w:rPr>
          <w:sz w:val="24"/>
          <w:szCs w:val="24"/>
          <w:rtl w:val="0"/>
          <w:lang w:val="en-US"/>
        </w:rPr>
        <w:t>Record of Induction and any other relevant training.</w:t>
      </w:r>
    </w:p>
    <w:p>
      <w:pPr>
        <w:pStyle w:val="List Paragraph"/>
        <w:numPr>
          <w:ilvl w:val="0"/>
          <w:numId w:val="4"/>
        </w:numPr>
        <w:bidi w:val="0"/>
        <w:ind w:right="0"/>
        <w:jc w:val="left"/>
        <w:rPr>
          <w:sz w:val="24"/>
          <w:szCs w:val="24"/>
          <w:rtl w:val="0"/>
          <w:lang w:val="en-US"/>
        </w:rPr>
      </w:pPr>
      <w:r>
        <w:rPr>
          <w:sz w:val="24"/>
          <w:szCs w:val="24"/>
          <w:rtl w:val="0"/>
          <w:lang w:val="en-US"/>
        </w:rPr>
        <w:t>Record of payments, like Gym fees.</w:t>
      </w:r>
    </w:p>
    <w:p>
      <w:pPr>
        <w:pStyle w:val="List Paragraph"/>
        <w:numPr>
          <w:ilvl w:val="0"/>
          <w:numId w:val="4"/>
        </w:numPr>
        <w:bidi w:val="0"/>
        <w:ind w:right="0"/>
        <w:jc w:val="left"/>
        <w:rPr>
          <w:sz w:val="24"/>
          <w:szCs w:val="24"/>
          <w:rtl w:val="0"/>
          <w:lang w:val="en-US"/>
        </w:rPr>
      </w:pPr>
      <w:r>
        <w:rPr>
          <w:sz w:val="24"/>
          <w:szCs w:val="24"/>
          <w:rtl w:val="0"/>
          <w:lang w:val="en-US"/>
        </w:rPr>
        <w:t>Confidential records of any accidents or investigations into concerns about members.</w:t>
      </w:r>
    </w:p>
    <w:p>
      <w:pPr>
        <w:pStyle w:val="Body"/>
        <w:rPr>
          <w:sz w:val="24"/>
          <w:szCs w:val="24"/>
        </w:rPr>
      </w:pPr>
      <w:r>
        <w:rPr>
          <w:sz w:val="24"/>
          <w:szCs w:val="24"/>
          <w:rtl w:val="0"/>
          <w:lang w:val="en-US"/>
        </w:rPr>
        <w:t>The Procedures will define why the data is required, how it is safely stored and when it will be destroyed. Procedures must be in place to try to avoid accidental sharing of personal data. Personal data about volunteers or other members must not be included in publicly available minutes or notes of meetings.</w:t>
      </w:r>
    </w:p>
    <w:p>
      <w:pPr>
        <w:pStyle w:val="Body"/>
        <w:rPr>
          <w:sz w:val="24"/>
          <w:szCs w:val="24"/>
        </w:rPr>
      </w:pPr>
      <w:r>
        <w:rPr>
          <w:sz w:val="24"/>
          <w:szCs w:val="24"/>
          <w:rtl w:val="0"/>
          <w:lang w:val="en-US"/>
        </w:rPr>
        <w:t>Personal data may have to be shared with trustees if they are involved in an investigation, into an accident or any other issues or issues relating to volunteers or other members.</w:t>
      </w:r>
    </w:p>
    <w:p>
      <w:pPr>
        <w:pStyle w:val="Body"/>
        <w:rPr>
          <w:sz w:val="24"/>
          <w:szCs w:val="24"/>
        </w:rPr>
      </w:pPr>
      <w:r>
        <w:rPr>
          <w:sz w:val="24"/>
          <w:szCs w:val="24"/>
          <w:rtl w:val="0"/>
          <w:lang w:val="en-US"/>
        </w:rPr>
        <w:t>When any member of the BCG, who has had reason to hold personal data on other members, leaves the BCG or no longer has reason to hold that data they must</w:t>
      </w:r>
    </w:p>
    <w:p>
      <w:pPr>
        <w:pStyle w:val="List Paragraph"/>
        <w:numPr>
          <w:ilvl w:val="0"/>
          <w:numId w:val="6"/>
        </w:numPr>
        <w:bidi w:val="0"/>
        <w:ind w:right="0"/>
        <w:jc w:val="left"/>
        <w:rPr>
          <w:sz w:val="24"/>
          <w:szCs w:val="24"/>
          <w:rtl w:val="0"/>
          <w:lang w:val="en-US"/>
        </w:rPr>
      </w:pPr>
      <w:r>
        <w:rPr>
          <w:sz w:val="24"/>
          <w:szCs w:val="24"/>
          <w:rtl w:val="0"/>
          <w:lang w:val="en-US"/>
        </w:rPr>
        <w:t>Hand over any relevant paper files and transfer any electronic files to another member or members authorised by the trustees to hold that data.</w:t>
      </w:r>
    </w:p>
    <w:p>
      <w:pPr>
        <w:pStyle w:val="List Paragraph"/>
        <w:numPr>
          <w:ilvl w:val="0"/>
          <w:numId w:val="6"/>
        </w:numPr>
        <w:bidi w:val="0"/>
        <w:ind w:right="0"/>
        <w:jc w:val="left"/>
        <w:rPr>
          <w:sz w:val="24"/>
          <w:szCs w:val="24"/>
          <w:rtl w:val="0"/>
          <w:lang w:val="en-US"/>
        </w:rPr>
      </w:pPr>
      <w:r>
        <w:rPr>
          <w:sz w:val="24"/>
          <w:szCs w:val="24"/>
          <w:rtl w:val="0"/>
          <w:lang w:val="en-US"/>
        </w:rPr>
        <w:t>Safely destroy any other papers they have containing personal BCG member data and delete any electronic files.</w:t>
      </w:r>
    </w:p>
    <w:p>
      <w:pPr>
        <w:pStyle w:val="Body"/>
        <w:tabs>
          <w:tab w:val="left" w:pos="3850"/>
        </w:tabs>
        <w:jc w:val="right"/>
      </w:pPr>
      <w:r>
        <w:rPr>
          <w:sz w:val="24"/>
          <w:szCs w:val="24"/>
          <w:rtl w:val="0"/>
          <w:lang w:val="en-US"/>
        </w:rPr>
        <w:t>Review 2028</w:t>
        <w:tab/>
      </w:r>
    </w:p>
    <w:sectPr>
      <w:headerReference w:type="default" r:id="rId4"/>
      <w:footerReference w:type="default" r:id="rId5"/>
      <w:pgSz w:w="11900" w:h="16840" w:orient="portrait"/>
      <w:pgMar w:top="1440" w:right="1440" w:bottom="1440" w:left="1440"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Apto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start w:val="1"/>
      <w:numFmt w:val="bullet"/>
      <w:suff w:val="tab"/>
      <w:lvlText w:val="·"/>
      <w:lvlJc w:val="left"/>
      <w:pPr>
        <w:tabs>
          <w:tab w:val="left" w:pos="720"/>
        </w:tabs>
        <w:ind w:left="14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start w:val="1"/>
      <w:numFmt w:val="bullet"/>
      <w:suff w:val="tab"/>
      <w:lvlText w:val="·"/>
      <w:lvlJc w:val="left"/>
      <w:pPr>
        <w:tabs>
          <w:tab w:val="left" w:pos="720"/>
        </w:tabs>
        <w:ind w:left="21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start w:val="1"/>
      <w:numFmt w:val="bullet"/>
      <w:suff w:val="tab"/>
      <w:lvlText w:val="·"/>
      <w:lvlJc w:val="left"/>
      <w:pPr>
        <w:tabs>
          <w:tab w:val="left" w:pos="720"/>
        </w:tabs>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start w:val="1"/>
      <w:numFmt w:val="bullet"/>
      <w:suff w:val="tab"/>
      <w:lvlText w:val="·"/>
      <w:lvlJc w:val="left"/>
      <w:pPr>
        <w:tabs>
          <w:tab w:val="left" w:pos="720"/>
        </w:tabs>
        <w:ind w:left="360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start w:val="1"/>
      <w:numFmt w:val="bullet"/>
      <w:suff w:val="tab"/>
      <w:lvlText w:val="·"/>
      <w:lvlJc w:val="left"/>
      <w:pPr>
        <w:tabs>
          <w:tab w:val="left" w:pos="720"/>
        </w:tabs>
        <w:ind w:left="43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start w:val="1"/>
      <w:numFmt w:val="bullet"/>
      <w:suff w:val="tab"/>
      <w:lvlText w:val="·"/>
      <w:lvlJc w:val="left"/>
      <w:pPr>
        <w:tabs>
          <w:tab w:val="left" w:pos="720"/>
        </w:tabs>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start w:val="1"/>
      <w:numFmt w:val="bullet"/>
      <w:suff w:val="tab"/>
      <w:lvlText w:val="·"/>
      <w:lvlJc w:val="left"/>
      <w:pPr>
        <w:tabs>
          <w:tab w:val="left" w:pos="720"/>
        </w:tabs>
        <w:ind w:left="57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start w:val="1"/>
      <w:numFmt w:val="bullet"/>
      <w:suff w:val="tab"/>
      <w:lvlText w:val="·"/>
      <w:lvlJc w:val="left"/>
      <w:pPr>
        <w:tabs>
          <w:tab w:val="left" w:pos="720"/>
        </w:tabs>
        <w:ind w:left="64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Imported Style 3"/>
  </w:abstractNum>
  <w:abstractNum w:abstractNumId="5">
    <w:multiLevelType w:val="hybridMultilevel"/>
    <w:styleLink w:val="Imported Style 3"/>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Aptos" w:cs="Aptos" w:hAnsi="Aptos" w:eastAsia="Aptos"/>
      <w:b w:val="0"/>
      <w:bCs w:val="0"/>
      <w:i w:val="0"/>
      <w:iCs w:val="0"/>
      <w:caps w:val="0"/>
      <w:smallCaps w:val="0"/>
      <w:strike w:val="0"/>
      <w:dstrike w:val="0"/>
      <w:outline w:val="0"/>
      <w:color w:val="000000"/>
      <w:spacing w:val="0"/>
      <w:kern w:val="2"/>
      <w:position w:val="0"/>
      <w:sz w:val="22"/>
      <w:szCs w:val="22"/>
      <w:u w:val="none" w:color="000000"/>
      <w:shd w:val="nil" w:color="auto" w:fill="auto"/>
      <w:vertAlign w:val="baseline"/>
      <w:lang w:val="en-US"/>
      <w14:textOutline>
        <w14:noFill/>
      </w14:textOutline>
      <w14:textFill>
        <w14:solidFill>
          <w14:srgbClr w14:val="000000"/>
        </w14:solidFill>
      </w14:textFill>
    </w:rPr>
  </w:style>
  <w:style w:type="numbering" w:styleId="Imported Style 1">
    <w:name w:val="Imported Style 1"/>
    <w:pPr>
      <w:numPr>
        <w:numId w:val="1"/>
      </w:numPr>
    </w:p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160" w:line="259" w:lineRule="auto"/>
      <w:ind w:left="720" w:right="0" w:firstLine="0"/>
      <w:jc w:val="left"/>
      <w:outlineLvl w:val="9"/>
    </w:pPr>
    <w:rPr>
      <w:rFonts w:ascii="Aptos" w:cs="Aptos" w:hAnsi="Aptos" w:eastAsia="Aptos"/>
      <w:b w:val="0"/>
      <w:bCs w:val="0"/>
      <w:i w:val="0"/>
      <w:iCs w:val="0"/>
      <w:caps w:val="0"/>
      <w:smallCaps w:val="0"/>
      <w:strike w:val="0"/>
      <w:dstrike w:val="0"/>
      <w:outline w:val="0"/>
      <w:color w:val="000000"/>
      <w:spacing w:val="0"/>
      <w:kern w:val="2"/>
      <w:position w:val="0"/>
      <w:sz w:val="22"/>
      <w:szCs w:val="22"/>
      <w:u w:val="none" w:color="000000"/>
      <w:shd w:val="nil" w:color="auto" w:fill="auto"/>
      <w:vertAlign w:val="baseline"/>
      <w:lang w:val="en-US"/>
      <w14:textFill>
        <w14:solidFill>
          <w14:srgbClr w14:val="000000"/>
        </w14:solidFill>
      </w14:textFill>
    </w:rPr>
  </w:style>
  <w:style w:type="numbering" w:styleId="Imported Style 2">
    <w:name w:val="Imported Style 2"/>
    <w:pPr>
      <w:numPr>
        <w:numId w:val="3"/>
      </w:numPr>
    </w:pPr>
  </w:style>
  <w:style w:type="numbering" w:styleId="Imported Style 3">
    <w:name w:val="Imported Style 3"/>
    <w:pPr>
      <w:numPr>
        <w:numId w:val="5"/>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