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rFonts w:ascii="Aptos" w:cs="Aptos" w:hAnsi="Aptos" w:eastAsia="Aptos"/>
          <w:b w:val="1"/>
          <w:bCs w:val="1"/>
          <w:sz w:val="28"/>
          <w:szCs w:val="28"/>
        </w:rPr>
      </w:pPr>
      <w:r>
        <w:rPr>
          <w:rFonts w:ascii="Aptos" w:cs="Aptos" w:hAnsi="Aptos" w:eastAsia="Aptos"/>
          <w:b w:val="1"/>
          <w:bCs w:val="1"/>
          <w:sz w:val="28"/>
          <w:szCs w:val="28"/>
          <w:rtl w:val="0"/>
          <w:lang w:val="en-US"/>
        </w:rPr>
        <w:t xml:space="preserve">Belford Community Group </w:t>
      </w:r>
    </w:p>
    <w:p>
      <w:pPr>
        <w:pStyle w:val="Body"/>
        <w:jc w:val="center"/>
        <w:rPr>
          <w:rFonts w:ascii="Aptos" w:cs="Aptos" w:hAnsi="Aptos" w:eastAsia="Aptos"/>
          <w:b w:val="1"/>
          <w:bCs w:val="1"/>
          <w:sz w:val="28"/>
          <w:szCs w:val="28"/>
        </w:rPr>
      </w:pPr>
      <w:r>
        <w:rPr>
          <w:rFonts w:ascii="Aptos" w:cs="Aptos" w:hAnsi="Aptos" w:eastAsia="Aptos"/>
          <w:b w:val="1"/>
          <w:bCs w:val="1"/>
          <w:sz w:val="28"/>
          <w:szCs w:val="28"/>
          <w:rtl w:val="0"/>
          <w:lang w:val="en-US"/>
        </w:rPr>
        <w:t>Conflict of Interest Policy</w:t>
      </w:r>
    </w:p>
    <w:p>
      <w:pPr>
        <w:pStyle w:val="Body"/>
        <w:rPr>
          <w:b w:val="1"/>
          <w:bCs w:val="1"/>
          <w:sz w:val="28"/>
          <w:szCs w:val="28"/>
        </w:rPr>
      </w:pPr>
    </w:p>
    <w:p>
      <w:pPr>
        <w:pStyle w:val="List Paragraph"/>
        <w:numPr>
          <w:ilvl w:val="0"/>
          <w:numId w:val="2"/>
        </w:numPr>
        <w:bidi w:val="0"/>
        <w:ind w:right="0"/>
        <w:jc w:val="left"/>
        <w:rPr>
          <w:b w:val="1"/>
          <w:bCs w:val="1"/>
          <w:sz w:val="24"/>
          <w:szCs w:val="24"/>
          <w:rtl w:val="0"/>
          <w:lang w:val="en-US"/>
        </w:rPr>
      </w:pPr>
      <w:r>
        <w:rPr>
          <w:b w:val="1"/>
          <w:bCs w:val="1"/>
          <w:sz w:val="24"/>
          <w:szCs w:val="24"/>
          <w:rtl w:val="0"/>
          <w:lang w:val="en-US"/>
        </w:rPr>
        <w:t>Purpose of Policy</w:t>
      </w:r>
    </w:p>
    <w:p>
      <w:pPr>
        <w:pStyle w:val="List Paragraph"/>
        <w:rPr>
          <w:sz w:val="24"/>
          <w:szCs w:val="24"/>
        </w:rPr>
      </w:pPr>
    </w:p>
    <w:p>
      <w:pPr>
        <w:pStyle w:val="List Paragraph"/>
        <w:rPr>
          <w:sz w:val="24"/>
          <w:szCs w:val="24"/>
        </w:rPr>
      </w:pPr>
      <w:r>
        <w:rPr>
          <w:sz w:val="24"/>
          <w:szCs w:val="24"/>
          <w:rtl w:val="0"/>
          <w:lang w:val="en-US"/>
        </w:rPr>
        <w:t>This policy serves as a guide for current trustees, prospective trustees and the many volunteers who assist the BCG. Personal interests and the duties to the charity will sometimes be in conflict. Therefore, they need to be managed openly and carefully. It is expected that any matter which might be construed as a clash between personal and BCG interests will be raised.</w:t>
      </w:r>
    </w:p>
    <w:p>
      <w:pPr>
        <w:pStyle w:val="List Paragraph"/>
        <w:rPr>
          <w:sz w:val="24"/>
          <w:szCs w:val="24"/>
        </w:rPr>
      </w:pPr>
    </w:p>
    <w:p>
      <w:pPr>
        <w:pStyle w:val="List Paragraph"/>
        <w:rPr>
          <w:sz w:val="24"/>
          <w:szCs w:val="24"/>
        </w:rPr>
      </w:pPr>
      <w:r>
        <w:rPr>
          <w:sz w:val="24"/>
          <w:szCs w:val="24"/>
          <w:rtl w:val="0"/>
          <w:lang w:val="en-US"/>
        </w:rPr>
        <w:t>Trustees</w:t>
      </w:r>
      <w:r>
        <w:rPr>
          <w:sz w:val="24"/>
          <w:szCs w:val="24"/>
          <w:rtl w:val="0"/>
          <w:lang w:val="en-US"/>
        </w:rPr>
        <w:t xml:space="preserve">’ </w:t>
      </w:r>
      <w:r>
        <w:rPr>
          <w:sz w:val="24"/>
          <w:szCs w:val="24"/>
          <w:rtl w:val="0"/>
          <w:lang w:val="en-US"/>
        </w:rPr>
        <w:t>and other volunteers</w:t>
      </w:r>
      <w:r>
        <w:rPr>
          <w:sz w:val="24"/>
          <w:szCs w:val="24"/>
          <w:rtl w:val="0"/>
          <w:lang w:val="en-US"/>
        </w:rPr>
        <w:t xml:space="preserve">’ </w:t>
      </w:r>
      <w:r>
        <w:rPr>
          <w:sz w:val="24"/>
          <w:szCs w:val="24"/>
          <w:rtl w:val="0"/>
          <w:lang w:val="en-US"/>
        </w:rPr>
        <w:t>personal and professional connections can bring benefits to the work of the charity, and they often form part of the reason why an individual has volunteered with the BCG. However, they can give rise to conflicts of interest, to which the trustees and other volunteers must respond effectively. The existence of a conflict of interest does not reflect on the integrity of the affected trustee or other volunteer, so long as it is properly addressed.</w:t>
      </w:r>
    </w:p>
    <w:p>
      <w:pPr>
        <w:pStyle w:val="List Paragraph"/>
        <w:rPr>
          <w:sz w:val="24"/>
          <w:szCs w:val="24"/>
        </w:rPr>
      </w:pPr>
    </w:p>
    <w:p>
      <w:pPr>
        <w:pStyle w:val="List Paragraph"/>
        <w:rPr>
          <w:sz w:val="24"/>
          <w:szCs w:val="24"/>
        </w:rPr>
      </w:pPr>
      <w:r>
        <w:rPr>
          <w:sz w:val="24"/>
          <w:szCs w:val="24"/>
          <w:rtl w:val="0"/>
          <w:lang w:val="en-US"/>
        </w:rPr>
        <w:t>Regard should be taken of the Charity Commission guidance on this topic.</w:t>
      </w:r>
    </w:p>
    <w:p>
      <w:pPr>
        <w:pStyle w:val="List Paragraph"/>
        <w:rPr>
          <w:sz w:val="24"/>
          <w:szCs w:val="24"/>
        </w:rPr>
      </w:pPr>
      <w:r>
        <w:rPr>
          <w:rStyle w:val="Hyperlink.0"/>
        </w:rPr>
        <w:fldChar w:fldCharType="begin" w:fldLock="0"/>
      </w:r>
      <w:r>
        <w:rPr>
          <w:rStyle w:val="Hyperlink.0"/>
        </w:rPr>
        <w:instrText xml:space="preserve"> HYPERLINK "https://www.gov.uk/government/publications/conflicts-of-interest-a-guide-for-charity-trustees-cc29"</w:instrText>
      </w:r>
      <w:r>
        <w:rPr>
          <w:rStyle w:val="Hyperlink.0"/>
        </w:rPr>
        <w:fldChar w:fldCharType="separate" w:fldLock="0"/>
      </w:r>
      <w:r>
        <w:rPr>
          <w:rStyle w:val="Hyperlink.0"/>
          <w:rtl w:val="0"/>
        </w:rPr>
        <w:t>https://www.gov.uk/government/publications/conflicts-of-interest-a-guide-for-charity-trustees-cc29</w:t>
      </w:r>
      <w:r>
        <w:rPr/>
        <w:fldChar w:fldCharType="end" w:fldLock="0"/>
      </w:r>
      <w:r>
        <w:rPr>
          <w:sz w:val="24"/>
          <w:szCs w:val="24"/>
          <w:rtl w:val="0"/>
          <w:lang w:val="en-US"/>
        </w:rPr>
        <w:t xml:space="preserve">. </w:t>
      </w:r>
    </w:p>
    <w:p>
      <w:pPr>
        <w:pStyle w:val="List Paragraph"/>
        <w:rPr>
          <w:sz w:val="24"/>
          <w:szCs w:val="24"/>
        </w:rPr>
      </w:pPr>
    </w:p>
    <w:p>
      <w:pPr>
        <w:pStyle w:val="List Paragraph"/>
        <w:numPr>
          <w:ilvl w:val="0"/>
          <w:numId w:val="2"/>
        </w:numPr>
        <w:bidi w:val="0"/>
        <w:ind w:right="0"/>
        <w:jc w:val="left"/>
        <w:rPr>
          <w:b w:val="1"/>
          <w:bCs w:val="1"/>
          <w:sz w:val="24"/>
          <w:szCs w:val="24"/>
          <w:rtl w:val="0"/>
          <w:lang w:val="en-US"/>
        </w:rPr>
      </w:pPr>
      <w:r>
        <w:rPr>
          <w:b w:val="1"/>
          <w:bCs w:val="1"/>
          <w:sz w:val="24"/>
          <w:szCs w:val="24"/>
          <w:rtl w:val="0"/>
          <w:lang w:val="en-US"/>
        </w:rPr>
        <w:t>Trustees</w:t>
      </w:r>
    </w:p>
    <w:p>
      <w:pPr>
        <w:pStyle w:val="List Paragraph"/>
        <w:rPr>
          <w:sz w:val="24"/>
          <w:szCs w:val="24"/>
        </w:rPr>
      </w:pPr>
    </w:p>
    <w:p>
      <w:pPr>
        <w:pStyle w:val="List Paragraph"/>
        <w:rPr>
          <w:sz w:val="24"/>
          <w:szCs w:val="24"/>
        </w:rPr>
      </w:pPr>
      <w:r>
        <w:rPr>
          <w:sz w:val="24"/>
          <w:szCs w:val="24"/>
          <w:rtl w:val="0"/>
          <w:lang w:val="en-US"/>
        </w:rPr>
        <w:t>Trustees have a legal duty as company directors and charity trustees to declare interests and avoid conflict of interest. They have a duty to provide and maintain a record of their interests with the Charity Commission, including information about other charities they work with.</w:t>
      </w:r>
    </w:p>
    <w:p>
      <w:pPr>
        <w:pStyle w:val="List Paragraph"/>
        <w:rPr>
          <w:sz w:val="24"/>
          <w:szCs w:val="24"/>
        </w:rPr>
      </w:pPr>
    </w:p>
    <w:p>
      <w:pPr>
        <w:pStyle w:val="List Paragraph"/>
        <w:rPr>
          <w:sz w:val="24"/>
          <w:szCs w:val="24"/>
        </w:rPr>
      </w:pPr>
      <w:r>
        <w:rPr>
          <w:sz w:val="24"/>
          <w:szCs w:val="24"/>
          <w:rtl w:val="0"/>
          <w:lang w:val="en-US"/>
        </w:rPr>
        <w:t>The BCG will maintain a register of interests of trustees that will be updated annually but any changes should be reported by the trustees whenever any relevant change of personal circumstances occurs.</w:t>
      </w:r>
    </w:p>
    <w:p>
      <w:pPr>
        <w:pStyle w:val="List Paragraph"/>
        <w:rPr>
          <w:sz w:val="24"/>
          <w:szCs w:val="24"/>
        </w:rPr>
      </w:pPr>
    </w:p>
    <w:p>
      <w:pPr>
        <w:pStyle w:val="List Paragraph"/>
        <w:rPr>
          <w:sz w:val="24"/>
          <w:szCs w:val="24"/>
        </w:rPr>
      </w:pPr>
      <w:r>
        <w:rPr>
          <w:sz w:val="24"/>
          <w:szCs w:val="24"/>
          <w:rtl w:val="0"/>
          <w:lang w:val="en-US"/>
        </w:rPr>
        <w:t>Possible Conflict of Interest will be an agenda item for all meetings of the trustees, to allow trustees to declare possible conflicts, or perceived conflicts, with any agenda items. Later declarations may be required at the meeting if issues arise within an agenda topic, for instance a specific grant application.</w:t>
      </w:r>
    </w:p>
    <w:p>
      <w:pPr>
        <w:pStyle w:val="List Paragraph"/>
        <w:rPr>
          <w:sz w:val="24"/>
          <w:szCs w:val="24"/>
        </w:rPr>
      </w:pPr>
    </w:p>
    <w:p>
      <w:pPr>
        <w:pStyle w:val="List Paragraph"/>
        <w:rPr>
          <w:sz w:val="24"/>
          <w:szCs w:val="24"/>
        </w:rPr>
      </w:pPr>
      <w:r>
        <w:rPr>
          <w:sz w:val="24"/>
          <w:szCs w:val="24"/>
          <w:rtl w:val="0"/>
          <w:lang w:val="en-US"/>
        </w:rPr>
        <w:t>Trustees may, however, participate in discussions from which they may indirectly benefit, for example where the benefits are universal to all users, or where the benefit is minimal. This participation will be at the Chair</w:t>
      </w:r>
      <w:r>
        <w:rPr>
          <w:sz w:val="24"/>
          <w:szCs w:val="24"/>
          <w:rtl w:val="0"/>
          <w:lang w:val="en-US"/>
        </w:rPr>
        <w:t>’</w:t>
      </w:r>
      <w:r>
        <w:rPr>
          <w:sz w:val="24"/>
          <w:szCs w:val="24"/>
          <w:rtl w:val="0"/>
          <w:lang w:val="en-US"/>
        </w:rPr>
        <w:t>s discretion. Trustees and other volunteers should not participate in discussions and decision making regarding an application with which they have an involvement or personal interest.</w:t>
      </w:r>
    </w:p>
    <w:p>
      <w:pPr>
        <w:pStyle w:val="List Paragraph"/>
        <w:rPr>
          <w:sz w:val="24"/>
          <w:szCs w:val="24"/>
        </w:rPr>
      </w:pPr>
    </w:p>
    <w:p>
      <w:pPr>
        <w:pStyle w:val="List Paragraph"/>
        <w:rPr>
          <w:sz w:val="24"/>
          <w:szCs w:val="24"/>
        </w:rPr>
      </w:pPr>
      <w:r>
        <w:rPr>
          <w:sz w:val="24"/>
          <w:szCs w:val="24"/>
          <w:rtl w:val="0"/>
          <w:lang w:val="en-US"/>
        </w:rPr>
        <w:t>Where a trustee has an Interest, all decisions will be made by a vote, with a simple majority required. If, in the opinion of the Chair, it is deemed appropriate, the interested party may be asked to leave the room during the discussion. A quorum must be present for the discussion and the decision; interested parties will not be counted when deciding the meeting is quorate or allowed a vote. All decisions under a conflict of interest will be recorded and reported in the minutes of the meeting, including the nature and extent of the conflict, an outline of the discussion and any actions to manage the conflict.</w:t>
      </w:r>
    </w:p>
    <w:p>
      <w:pPr>
        <w:pStyle w:val="List Paragraph"/>
        <w:rPr>
          <w:sz w:val="24"/>
          <w:szCs w:val="24"/>
        </w:rPr>
      </w:pPr>
    </w:p>
    <w:p>
      <w:pPr>
        <w:pStyle w:val="List Paragraph"/>
        <w:numPr>
          <w:ilvl w:val="0"/>
          <w:numId w:val="2"/>
        </w:numPr>
        <w:bidi w:val="0"/>
        <w:ind w:right="0"/>
        <w:jc w:val="left"/>
        <w:rPr>
          <w:b w:val="1"/>
          <w:bCs w:val="1"/>
          <w:sz w:val="24"/>
          <w:szCs w:val="24"/>
          <w:rtl w:val="0"/>
          <w:lang w:val="en-US"/>
        </w:rPr>
      </w:pPr>
      <w:r>
        <w:rPr>
          <w:b w:val="1"/>
          <w:bCs w:val="1"/>
          <w:sz w:val="24"/>
          <w:szCs w:val="24"/>
          <w:rtl w:val="0"/>
          <w:lang w:val="en-US"/>
        </w:rPr>
        <w:t>Types of Conflict of Interest for Trustees and other volunteers</w:t>
      </w:r>
    </w:p>
    <w:p>
      <w:pPr>
        <w:pStyle w:val="List Paragraph"/>
        <w:rPr>
          <w:sz w:val="24"/>
          <w:szCs w:val="24"/>
        </w:rPr>
      </w:pPr>
    </w:p>
    <w:p>
      <w:pPr>
        <w:pStyle w:val="List Paragraph"/>
        <w:rPr>
          <w:sz w:val="24"/>
          <w:szCs w:val="24"/>
        </w:rPr>
      </w:pPr>
      <w:r>
        <w:rPr>
          <w:sz w:val="24"/>
          <w:szCs w:val="24"/>
          <w:rtl w:val="0"/>
          <w:lang w:val="en-US"/>
        </w:rPr>
        <w:t>The types of the interest will vary according to personal circumstances, but the following are examples of interests that could be related to BCG duties:</w:t>
      </w:r>
    </w:p>
    <w:p>
      <w:pPr>
        <w:pStyle w:val="List Paragraph"/>
        <w:rPr>
          <w:sz w:val="24"/>
          <w:szCs w:val="24"/>
        </w:rPr>
      </w:pPr>
    </w:p>
    <w:p>
      <w:pPr>
        <w:pStyle w:val="List Paragraph"/>
        <w:numPr>
          <w:ilvl w:val="0"/>
          <w:numId w:val="4"/>
        </w:numPr>
        <w:bidi w:val="0"/>
        <w:ind w:right="0"/>
        <w:jc w:val="left"/>
        <w:rPr>
          <w:sz w:val="24"/>
          <w:szCs w:val="24"/>
          <w:rtl w:val="0"/>
          <w:lang w:val="en-US"/>
        </w:rPr>
      </w:pPr>
      <w:r>
        <w:rPr>
          <w:sz w:val="24"/>
          <w:szCs w:val="24"/>
          <w:rtl w:val="0"/>
          <w:lang w:val="en-US"/>
        </w:rPr>
        <w:t>Decisions about award of grants to outside bodies.</w:t>
      </w:r>
    </w:p>
    <w:p>
      <w:pPr>
        <w:pStyle w:val="List Paragraph"/>
        <w:numPr>
          <w:ilvl w:val="0"/>
          <w:numId w:val="4"/>
        </w:numPr>
        <w:bidi w:val="0"/>
        <w:ind w:right="0"/>
        <w:jc w:val="left"/>
        <w:rPr>
          <w:sz w:val="24"/>
          <w:szCs w:val="24"/>
          <w:rtl w:val="0"/>
          <w:lang w:val="en-US"/>
        </w:rPr>
      </w:pPr>
      <w:r>
        <w:rPr>
          <w:sz w:val="24"/>
          <w:szCs w:val="24"/>
          <w:rtl w:val="0"/>
          <w:lang w:val="en-US"/>
        </w:rPr>
        <w:t>Pricing of goods for sale in the shop that a volunteer wants to buy. This is covered in more detail in the pricing procedure applicable to the Community Shop.</w:t>
      </w:r>
    </w:p>
    <w:p>
      <w:pPr>
        <w:pStyle w:val="List Paragraph"/>
        <w:numPr>
          <w:ilvl w:val="0"/>
          <w:numId w:val="4"/>
        </w:numPr>
        <w:bidi w:val="0"/>
        <w:ind w:right="0"/>
        <w:jc w:val="left"/>
        <w:rPr>
          <w:sz w:val="24"/>
          <w:szCs w:val="24"/>
          <w:rtl w:val="0"/>
          <w:lang w:val="en-US"/>
        </w:rPr>
      </w:pPr>
      <w:r>
        <w:rPr>
          <w:sz w:val="24"/>
          <w:szCs w:val="24"/>
          <w:rtl w:val="0"/>
          <w:lang w:val="en-US"/>
        </w:rPr>
        <w:t>Involvement with another part of the operation of the BCG, for instance the Gym or the Woodlands if they are requesting special funding.</w:t>
      </w:r>
    </w:p>
    <w:p>
      <w:pPr>
        <w:pStyle w:val="List Paragraph"/>
        <w:numPr>
          <w:ilvl w:val="0"/>
          <w:numId w:val="4"/>
        </w:numPr>
        <w:bidi w:val="0"/>
        <w:ind w:right="0"/>
        <w:jc w:val="left"/>
        <w:rPr>
          <w:sz w:val="24"/>
          <w:szCs w:val="24"/>
          <w:rtl w:val="0"/>
          <w:lang w:val="en-US"/>
        </w:rPr>
      </w:pPr>
      <w:r>
        <w:rPr>
          <w:sz w:val="24"/>
          <w:szCs w:val="24"/>
          <w:rtl w:val="0"/>
          <w:lang w:val="en-US"/>
        </w:rPr>
        <w:t>Difficulties with the management or behaviour of volunteers when complicated by close relationships or friendships.</w:t>
      </w:r>
    </w:p>
    <w:p>
      <w:pPr>
        <w:pStyle w:val="List Paragraph"/>
        <w:ind w:left="1440" w:firstLine="0"/>
        <w:rPr>
          <w:sz w:val="24"/>
          <w:szCs w:val="24"/>
        </w:rPr>
      </w:pPr>
    </w:p>
    <w:p>
      <w:pPr>
        <w:pStyle w:val="List Paragraph"/>
        <w:numPr>
          <w:ilvl w:val="0"/>
          <w:numId w:val="5"/>
        </w:numPr>
        <w:bidi w:val="0"/>
        <w:ind w:right="0"/>
        <w:jc w:val="left"/>
        <w:rPr>
          <w:b w:val="1"/>
          <w:bCs w:val="1"/>
          <w:sz w:val="24"/>
          <w:szCs w:val="24"/>
          <w:rtl w:val="0"/>
          <w:lang w:val="en-US"/>
        </w:rPr>
      </w:pPr>
      <w:r>
        <w:rPr>
          <w:b w:val="1"/>
          <w:bCs w:val="1"/>
          <w:sz w:val="24"/>
          <w:szCs w:val="24"/>
          <w:rtl w:val="0"/>
          <w:lang w:val="en-US"/>
        </w:rPr>
        <w:t>Review</w:t>
      </w:r>
    </w:p>
    <w:p>
      <w:pPr>
        <w:pStyle w:val="List Paragraph"/>
        <w:rPr>
          <w:sz w:val="24"/>
          <w:szCs w:val="24"/>
        </w:rPr>
      </w:pPr>
    </w:p>
    <w:p>
      <w:pPr>
        <w:pStyle w:val="List Paragraph"/>
      </w:pPr>
      <w:r>
        <w:rPr>
          <w:sz w:val="24"/>
          <w:szCs w:val="24"/>
          <w:rtl w:val="0"/>
          <w:lang w:val="en-US"/>
        </w:rPr>
        <w:t>The effectiveness of this policy will be reviewed by the Trustees every three years.</w:t>
      </w:r>
    </w:p>
    <w:sectPr>
      <w:headerReference w:type="default" r:id="rId4"/>
      <w:footerReference w:type="default" r:id="rId5"/>
      <w:pgSz w:w="11900" w:h="16840" w:orient="portrait"/>
      <w:pgMar w:top="1440" w:right="1440" w:bottom="1440" w:left="144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pto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ind w:left="72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13"/>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13"/>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13"/>
      </w:pPr>
      <w:rPr>
        <w:rFonts w:hAnsi="Arial Unicode MS"/>
        <w:b w:val="1"/>
        <w:bCs w:val="1"/>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14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360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7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72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0"/>
    <w:lvlOverride w:ilvl="0">
      <w:startOverride w:val="4"/>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en-US"/>
      <w14:textOutline>
        <w14:noFill/>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160" w:line="259" w:lineRule="auto"/>
      <w:ind w:left="72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 w:type="character" w:styleId="Link">
    <w:name w:val="Link"/>
    <w:rPr>
      <w:outline w:val="0"/>
      <w:color w:val="467886"/>
      <w:u w:val="single" w:color="467886"/>
      <w14:textFill>
        <w14:solidFill>
          <w14:srgbClr w14:val="467886"/>
        </w14:solidFill>
      </w14:textFill>
    </w:rPr>
  </w:style>
  <w:style w:type="character" w:styleId="Hyperlink.0">
    <w:name w:val="Hyperlink.0"/>
    <w:basedOn w:val="Link"/>
    <w:next w:val="Hyperlink.0"/>
    <w:rPr>
      <w:sz w:val="24"/>
      <w:szCs w:val="24"/>
    </w:rPr>
  </w:style>
  <w:style w:type="numbering" w:styleId="Imported Style 2">
    <w:name w:val="Imported Style 2"/>
    <w:pPr>
      <w:numPr>
        <w:numId w:val="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